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E3F" w:rsidRPr="00CD6CC9" w:rsidRDefault="006E57E2">
      <w:pPr>
        <w:rPr>
          <w:b/>
        </w:rPr>
      </w:pPr>
      <w:r>
        <w:rPr>
          <w:b/>
        </w:rPr>
        <w:t xml:space="preserve">Chapter 8 - </w:t>
      </w:r>
      <w:r w:rsidR="00CD6CC9" w:rsidRPr="00CD6CC9">
        <w:rPr>
          <w:b/>
        </w:rPr>
        <w:t xml:space="preserve">Teaching Note for </w:t>
      </w:r>
      <w:r w:rsidR="00331CE4">
        <w:rPr>
          <w:b/>
        </w:rPr>
        <w:t>Kloss Planters and Harvesters</w:t>
      </w:r>
    </w:p>
    <w:p w:rsidR="00331CE4" w:rsidRDefault="00331CE4">
      <w:r>
        <w:t>The case is designed to help students understand the benefits of using the same assembly line for counter cyclical products such as planters and harvesters</w:t>
      </w:r>
      <w:r w:rsidR="00ED2036">
        <w:t>.</w:t>
      </w:r>
      <w:r w:rsidR="00D37FA8">
        <w:t xml:space="preserve"> All results are from the spreadsheet </w:t>
      </w:r>
      <w:r w:rsidR="00281EA3" w:rsidRPr="00281EA3">
        <w:rPr>
          <w:i/>
        </w:rPr>
        <w:t>Chapter</w:t>
      </w:r>
      <w:r>
        <w:rPr>
          <w:i/>
        </w:rPr>
        <w:t>8</w:t>
      </w:r>
      <w:r w:rsidR="00281EA3" w:rsidRPr="00281EA3">
        <w:rPr>
          <w:i/>
        </w:rPr>
        <w:t>-</w:t>
      </w:r>
      <w:r>
        <w:rPr>
          <w:i/>
        </w:rPr>
        <w:t>KH-case</w:t>
      </w:r>
      <w:r w:rsidR="00281EA3">
        <w:t>.</w:t>
      </w:r>
      <w:r>
        <w:t xml:space="preserve"> </w:t>
      </w:r>
    </w:p>
    <w:p w:rsidR="00CD6CC9" w:rsidRDefault="00331CE4">
      <w:r>
        <w:t xml:space="preserve">The first analysis involves the production plan for the current Planter plant. The planning model and results are obtained on the worksheet </w:t>
      </w:r>
      <w:r>
        <w:rPr>
          <w:i/>
        </w:rPr>
        <w:t>Production Plan Planter</w:t>
      </w:r>
      <w:r>
        <w:t xml:space="preserve">. </w:t>
      </w:r>
      <w:bookmarkStart w:id="0" w:name="_GoBack"/>
      <w:bookmarkEnd w:id="0"/>
      <w:r>
        <w:t>For the demand in Table 8-12 of the case, the optimal production plan is shown in Table 1 below.</w:t>
      </w:r>
      <w:r w:rsidR="007D3519">
        <w:t xml:space="preserve"> We assume starting/ending workforce of 244 and starting/ending inventory of 250 planters.</w:t>
      </w:r>
    </w:p>
    <w:p w:rsidR="00331CE4" w:rsidRDefault="006A27EE">
      <w:r w:rsidRPr="006A27EE">
        <w:rPr>
          <w:noProof/>
        </w:rPr>
        <w:drawing>
          <wp:inline distT="0" distB="0" distL="0" distR="0" wp14:anchorId="609851CD" wp14:editId="26F6279A">
            <wp:extent cx="5340096" cy="37216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340096" cy="3721608"/>
                    </a:xfrm>
                    <a:prstGeom prst="rect">
                      <a:avLst/>
                    </a:prstGeom>
                  </pic:spPr>
                </pic:pic>
              </a:graphicData>
            </a:graphic>
          </wp:inline>
        </w:drawing>
      </w:r>
    </w:p>
    <w:p w:rsidR="00091255" w:rsidRDefault="00281EA3">
      <w:r>
        <w:rPr>
          <w:b/>
        </w:rPr>
        <w:t>Table 1</w:t>
      </w:r>
      <w:r>
        <w:t xml:space="preserve">: </w:t>
      </w:r>
      <w:r w:rsidR="00331CE4">
        <w:t>Optimal Production Plan for Planters at KPH</w:t>
      </w:r>
    </w:p>
    <w:p w:rsidR="00281EA3" w:rsidRDefault="00331CE4">
      <w:r>
        <w:t>The optimal production plan accommodates the high seasonality of demand for planters by hiring and laying off workers, providing overtime and carrying some inventory. Almost $4 million ($1.2 for hiring + $2.0 for layoff + $0.69 for overtime +</w:t>
      </w:r>
      <w:r w:rsidR="00E34753">
        <w:t xml:space="preserve"> </w:t>
      </w:r>
      <w:r>
        <w:t>$0.50 for inventory) is added to cost each year besides material and regular labor cost.</w:t>
      </w:r>
      <w:r w:rsidR="007D3519">
        <w:t xml:space="preserve"> Given peak demand in March, the firm starts the year with inventory and a large workforce. By June, demand is very low so the firm lays off workers and reduces its inventory.</w:t>
      </w:r>
    </w:p>
    <w:p w:rsidR="007D3519" w:rsidRDefault="007D3519">
      <w:r>
        <w:t>The story is very similar for harvesters except that the peak is in August and September. The optimal production plan is shown in Table 2</w:t>
      </w:r>
      <w:r w:rsidR="000E35B6">
        <w:t xml:space="preserve"> and is obtained from the worksheet </w:t>
      </w:r>
      <w:r w:rsidR="002B680A">
        <w:rPr>
          <w:i/>
        </w:rPr>
        <w:t>Production plan harvester</w:t>
      </w:r>
      <w:r>
        <w:t>. We assume starting/ending workforce of 100 and starting/ending inventory of 50.</w:t>
      </w:r>
    </w:p>
    <w:p w:rsidR="007D3519" w:rsidRPr="00281EA3" w:rsidRDefault="006A27EE">
      <w:r w:rsidRPr="006A27EE">
        <w:rPr>
          <w:noProof/>
        </w:rPr>
        <w:lastRenderedPageBreak/>
        <w:drawing>
          <wp:inline distT="0" distB="0" distL="0" distR="0" wp14:anchorId="630BFFB2" wp14:editId="05522F43">
            <wp:extent cx="5340096" cy="37216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340096" cy="3721608"/>
                    </a:xfrm>
                    <a:prstGeom prst="rect">
                      <a:avLst/>
                    </a:prstGeom>
                  </pic:spPr>
                </pic:pic>
              </a:graphicData>
            </a:graphic>
          </wp:inline>
        </w:drawing>
      </w:r>
    </w:p>
    <w:p w:rsidR="00ED2036" w:rsidRDefault="00281EA3">
      <w:r>
        <w:rPr>
          <w:b/>
        </w:rPr>
        <w:t>Table 2</w:t>
      </w:r>
      <w:r>
        <w:t xml:space="preserve">: </w:t>
      </w:r>
      <w:r w:rsidR="007D3519">
        <w:t>Optimal Production Plan for harvesters at KPH</w:t>
      </w:r>
    </w:p>
    <w:p w:rsidR="00281EA3" w:rsidRDefault="007D3519">
      <w:r>
        <w:t xml:space="preserve">The optimal production plan manages seasonality of demand by hiring and laying off workers, providing overtime, carrying inventory and even a small </w:t>
      </w:r>
      <w:proofErr w:type="spellStart"/>
      <w:r>
        <w:t>stockout</w:t>
      </w:r>
      <w:proofErr w:type="spellEnd"/>
      <w:r>
        <w:t>. About $4 million ($0.8</w:t>
      </w:r>
      <w:r w:rsidR="007C4350">
        <w:t>1</w:t>
      </w:r>
      <w:r>
        <w:t xml:space="preserve"> for hiring + $1.3</w:t>
      </w:r>
      <w:r w:rsidR="007C4350">
        <w:t>6</w:t>
      </w:r>
      <w:r>
        <w:t xml:space="preserve"> for layoff + $0.45 for overtime +</w:t>
      </w:r>
      <w:r w:rsidR="00E34753">
        <w:t xml:space="preserve"> </w:t>
      </w:r>
      <w:r>
        <w:t>$1.4</w:t>
      </w:r>
      <w:r w:rsidR="007C4350">
        <w:t>9</w:t>
      </w:r>
      <w:r>
        <w:t xml:space="preserve"> for inventory) is added to cost each year besides material and regular labor cost.</w:t>
      </w:r>
    </w:p>
    <w:p w:rsidR="00487603" w:rsidRPr="00281EA3" w:rsidRDefault="00487603">
      <w:r>
        <w:t>The total annual cost of the two separate plants is $113,936,320 + $11</w:t>
      </w:r>
      <w:r w:rsidR="007C4350">
        <w:t>2</w:t>
      </w:r>
      <w:r>
        <w:t>,</w:t>
      </w:r>
      <w:r w:rsidR="007C4350">
        <w:t>729,8</w:t>
      </w:r>
      <w:r>
        <w:t>60 = $22</w:t>
      </w:r>
      <w:r w:rsidR="007C4350">
        <w:t>6</w:t>
      </w:r>
      <w:r>
        <w:t>,</w:t>
      </w:r>
      <w:r w:rsidR="007C4350">
        <w:t>666</w:t>
      </w:r>
      <w:r>
        <w:t>,</w:t>
      </w:r>
      <w:r w:rsidR="007C4350">
        <w:t>1</w:t>
      </w:r>
      <w:r>
        <w:t>80.</w:t>
      </w:r>
    </w:p>
    <w:p w:rsidR="00183037" w:rsidRDefault="007D3519">
      <w:r>
        <w:t>Given that planters and harvesters have peaks that are different times of the year, there seems to be some advantage to having a flexible plant that can be used for both products. The optimal production plan is shown in Table 3</w:t>
      </w:r>
      <w:r w:rsidR="002B680A">
        <w:t xml:space="preserve"> and is obtained from the worksheet </w:t>
      </w:r>
      <w:r w:rsidR="002B680A">
        <w:rPr>
          <w:i/>
        </w:rPr>
        <w:t>Overall Production Plan</w:t>
      </w:r>
      <w:r>
        <w:t>. To be consistent with the analysis for each of the two separate production lines, we assume ending workforce of 344 (244 + 100) and ending inventory of 300 (250 + 50)</w:t>
      </w:r>
      <w:r w:rsidR="007C4350">
        <w:t xml:space="preserve"> for the month of December</w:t>
      </w:r>
      <w:r>
        <w:t>.</w:t>
      </w:r>
      <w:r w:rsidR="007C4350">
        <w:t xml:space="preserve"> The same values thus become the starting workforce and inventory for our analysis. We can treat harvesters and planters as the same machine in our analysis because they require exactly the same labor and materials to produce.</w:t>
      </w:r>
    </w:p>
    <w:p w:rsidR="00487603" w:rsidRDefault="00487603">
      <w:r>
        <w:t>Observe that the annual cos</w:t>
      </w:r>
      <w:r w:rsidR="007C4350">
        <w:t>t of the flexible plant is $4,804</w:t>
      </w:r>
      <w:r>
        <w:t>,</w:t>
      </w:r>
      <w:r w:rsidR="007C4350">
        <w:t>48</w:t>
      </w:r>
      <w:r>
        <w:t xml:space="preserve">0 </w:t>
      </w:r>
      <w:r w:rsidR="007C4350">
        <w:t xml:space="preserve">($226,666,180 – $221,861,700) </w:t>
      </w:r>
      <w:r>
        <w:t>less than operating two separate plants. The counter cyclical peaks allow KPH to use its labor force more effectively thus requiring less layoffs and hiring. Because of the reduced fluctuation in demand over the year (across the two products combined), the company is able to lower its hiring, layoff, overtime, and inventory costs relative to operating the two separate plants.</w:t>
      </w:r>
    </w:p>
    <w:p w:rsidR="00487603" w:rsidRDefault="006A27EE">
      <w:r w:rsidRPr="006A27EE">
        <w:rPr>
          <w:noProof/>
        </w:rPr>
        <w:lastRenderedPageBreak/>
        <w:drawing>
          <wp:inline distT="0" distB="0" distL="0" distR="0" wp14:anchorId="50E228CD" wp14:editId="5305D5F1">
            <wp:extent cx="5340096" cy="372160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40096" cy="3721608"/>
                    </a:xfrm>
                    <a:prstGeom prst="rect">
                      <a:avLst/>
                    </a:prstGeom>
                  </pic:spPr>
                </pic:pic>
              </a:graphicData>
            </a:graphic>
          </wp:inline>
        </w:drawing>
      </w:r>
    </w:p>
    <w:p w:rsidR="00487603" w:rsidRDefault="00487603" w:rsidP="00487603">
      <w:r>
        <w:rPr>
          <w:b/>
        </w:rPr>
        <w:t>Table 3</w:t>
      </w:r>
      <w:r>
        <w:t>: Optimal Production Plan for Combined Plant at KPH</w:t>
      </w:r>
    </w:p>
    <w:p w:rsidR="000E35B6" w:rsidRDefault="000E35B6" w:rsidP="00487603"/>
    <w:p w:rsidR="00487603" w:rsidRDefault="00487603"/>
    <w:sectPr w:rsidR="00487603" w:rsidSect="00ED0E3F">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2C0" w:rsidRDefault="00B462C0" w:rsidP="00147DAD">
      <w:pPr>
        <w:spacing w:after="0" w:line="240" w:lineRule="auto"/>
      </w:pPr>
      <w:r>
        <w:separator/>
      </w:r>
    </w:p>
  </w:endnote>
  <w:endnote w:type="continuationSeparator" w:id="0">
    <w:p w:rsidR="00B462C0" w:rsidRDefault="00B462C0" w:rsidP="00147D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DAD" w:rsidRDefault="00147DAD">
    <w:pPr>
      <w:pStyle w:val="Footer"/>
    </w:pPr>
    <w:r>
      <w:t>Copyright © 2019 Pearson Education, Inc.</w:t>
    </w:r>
    <w:r>
      <w:tab/>
    </w:r>
    <w:r>
      <w:tab/>
    </w:r>
    <w:r>
      <w:rPr>
        <w:noProof/>
      </w:rPr>
      <w:drawing>
        <wp:inline distT="0" distB="0" distL="0" distR="0">
          <wp:extent cx="648491"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1111843_High Re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8491" cy="457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2C0" w:rsidRDefault="00B462C0" w:rsidP="00147DAD">
      <w:pPr>
        <w:spacing w:after="0" w:line="240" w:lineRule="auto"/>
      </w:pPr>
      <w:r>
        <w:separator/>
      </w:r>
    </w:p>
  </w:footnote>
  <w:footnote w:type="continuationSeparator" w:id="0">
    <w:p w:rsidR="00B462C0" w:rsidRDefault="00B462C0" w:rsidP="00147DA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D6CC9"/>
    <w:rsid w:val="00091255"/>
    <w:rsid w:val="000E35B6"/>
    <w:rsid w:val="000E5A8D"/>
    <w:rsid w:val="00147DAD"/>
    <w:rsid w:val="00183037"/>
    <w:rsid w:val="00275F35"/>
    <w:rsid w:val="00281EA3"/>
    <w:rsid w:val="002B680A"/>
    <w:rsid w:val="00331CE4"/>
    <w:rsid w:val="0034218E"/>
    <w:rsid w:val="00487603"/>
    <w:rsid w:val="005D761A"/>
    <w:rsid w:val="00640DE3"/>
    <w:rsid w:val="0068492C"/>
    <w:rsid w:val="006A27EE"/>
    <w:rsid w:val="006E57E2"/>
    <w:rsid w:val="007C4350"/>
    <w:rsid w:val="007D3519"/>
    <w:rsid w:val="00B05975"/>
    <w:rsid w:val="00B462C0"/>
    <w:rsid w:val="00CD6CC9"/>
    <w:rsid w:val="00D37FA8"/>
    <w:rsid w:val="00E34753"/>
    <w:rsid w:val="00E418AE"/>
    <w:rsid w:val="00E94A3E"/>
    <w:rsid w:val="00EB6099"/>
    <w:rsid w:val="00ED0E3F"/>
    <w:rsid w:val="00ED2036"/>
    <w:rsid w:val="00F85D90"/>
    <w:rsid w:val="00FB31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523B28"/>
  <w15:docId w15:val="{7AEF45C6-6106-4B52-92D6-677E6290A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76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20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31C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1CE4"/>
    <w:rPr>
      <w:rFonts w:ascii="Tahoma" w:hAnsi="Tahoma" w:cs="Tahoma"/>
      <w:sz w:val="16"/>
      <w:szCs w:val="16"/>
    </w:rPr>
  </w:style>
  <w:style w:type="character" w:styleId="CommentReference">
    <w:name w:val="annotation reference"/>
    <w:basedOn w:val="DefaultParagraphFont"/>
    <w:uiPriority w:val="99"/>
    <w:semiHidden/>
    <w:unhideWhenUsed/>
    <w:rsid w:val="0034218E"/>
    <w:rPr>
      <w:sz w:val="16"/>
      <w:szCs w:val="16"/>
    </w:rPr>
  </w:style>
  <w:style w:type="paragraph" w:styleId="CommentText">
    <w:name w:val="annotation text"/>
    <w:basedOn w:val="Normal"/>
    <w:link w:val="CommentTextChar"/>
    <w:uiPriority w:val="99"/>
    <w:semiHidden/>
    <w:unhideWhenUsed/>
    <w:rsid w:val="0034218E"/>
    <w:pPr>
      <w:spacing w:line="240" w:lineRule="auto"/>
    </w:pPr>
    <w:rPr>
      <w:sz w:val="20"/>
      <w:szCs w:val="20"/>
    </w:rPr>
  </w:style>
  <w:style w:type="character" w:customStyle="1" w:styleId="CommentTextChar">
    <w:name w:val="Comment Text Char"/>
    <w:basedOn w:val="DefaultParagraphFont"/>
    <w:link w:val="CommentText"/>
    <w:uiPriority w:val="99"/>
    <w:semiHidden/>
    <w:rsid w:val="0034218E"/>
    <w:rPr>
      <w:sz w:val="20"/>
      <w:szCs w:val="20"/>
    </w:rPr>
  </w:style>
  <w:style w:type="paragraph" w:styleId="CommentSubject">
    <w:name w:val="annotation subject"/>
    <w:basedOn w:val="CommentText"/>
    <w:next w:val="CommentText"/>
    <w:link w:val="CommentSubjectChar"/>
    <w:uiPriority w:val="99"/>
    <w:semiHidden/>
    <w:unhideWhenUsed/>
    <w:rsid w:val="0034218E"/>
    <w:rPr>
      <w:b/>
      <w:bCs/>
    </w:rPr>
  </w:style>
  <w:style w:type="character" w:customStyle="1" w:styleId="CommentSubjectChar">
    <w:name w:val="Comment Subject Char"/>
    <w:basedOn w:val="CommentTextChar"/>
    <w:link w:val="CommentSubject"/>
    <w:uiPriority w:val="99"/>
    <w:semiHidden/>
    <w:rsid w:val="0034218E"/>
    <w:rPr>
      <w:b/>
      <w:bCs/>
      <w:sz w:val="20"/>
      <w:szCs w:val="20"/>
    </w:rPr>
  </w:style>
  <w:style w:type="paragraph" w:styleId="Revision">
    <w:name w:val="Revision"/>
    <w:hidden/>
    <w:uiPriority w:val="99"/>
    <w:semiHidden/>
    <w:rsid w:val="0034218E"/>
    <w:pPr>
      <w:spacing w:after="0" w:line="240" w:lineRule="auto"/>
    </w:pPr>
  </w:style>
  <w:style w:type="paragraph" w:styleId="Header">
    <w:name w:val="header"/>
    <w:basedOn w:val="Normal"/>
    <w:link w:val="HeaderChar"/>
    <w:uiPriority w:val="99"/>
    <w:unhideWhenUsed/>
    <w:rsid w:val="00147D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7DAD"/>
  </w:style>
  <w:style w:type="paragraph" w:styleId="Footer">
    <w:name w:val="footer"/>
    <w:basedOn w:val="Normal"/>
    <w:link w:val="FooterChar"/>
    <w:uiPriority w:val="99"/>
    <w:unhideWhenUsed/>
    <w:rsid w:val="00147D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7D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323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3</Pages>
  <Words>475</Words>
  <Characters>2714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Kellogg School of Management</Company>
  <LinksUpToDate>false</LinksUpToDate>
  <CharactersWithSpaces>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Loss Planters Teaching Note</dc:title>
  <dc:subject>Supply Chain Management - 6th Edition</dc:subject>
  <dc:creator>Sunil Chopra &amp; Jay Mabe</dc:creator>
  <cp:lastModifiedBy>Mirano, Ronel</cp:lastModifiedBy>
  <cp:revision>10</cp:revision>
  <dcterms:created xsi:type="dcterms:W3CDTF">2014-06-13T18:56:00Z</dcterms:created>
  <dcterms:modified xsi:type="dcterms:W3CDTF">2017-10-23T09:37:00Z</dcterms:modified>
</cp:coreProperties>
</file>